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81" w:rsidRPr="00794680" w:rsidRDefault="000D0FD0" w:rsidP="00794680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bCs/>
          <w:color w:val="000000" w:themeColor="text1"/>
          <w:kern w:val="24"/>
        </w:rPr>
      </w:pPr>
      <w:r w:rsidRPr="0079468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-208280</wp:posOffset>
            </wp:positionV>
            <wp:extent cx="723900" cy="962025"/>
            <wp:effectExtent l="0" t="0" r="0" b="9525"/>
            <wp:wrapNone/>
            <wp:docPr id="9" name="Imagen 8" descr="C:\Users\Nilo Gallegos\Desktop\DDR\VARIOS\Coli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C:\Users\Nilo Gallegos\Desktop\DDR\VARIOS\Coli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309" w:rsidRPr="00794680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5589270</wp:posOffset>
            </wp:positionH>
            <wp:positionV relativeFrom="paragraph">
              <wp:posOffset>-140335</wp:posOffset>
            </wp:positionV>
            <wp:extent cx="1276350" cy="742950"/>
            <wp:effectExtent l="0" t="0" r="0" b="0"/>
            <wp:wrapNone/>
            <wp:docPr id="12" name="Imagen 11" descr="C:\Users\Nilo Gallegos\Desktop\DDR\VARIOS\up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 descr="C:\Users\Nilo Gallegos\Desktop\DDR\VARIOS\u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CDB">
        <w:rPr>
          <w:rFonts w:ascii="Calibri" w:eastAsia="Calibri" w:hAnsi="Calibri"/>
          <w:b/>
          <w:bCs/>
          <w:noProof/>
          <w:color w:val="000000" w:themeColor="text1"/>
          <w:kern w:val="24"/>
        </w:rPr>
        <w:pict>
          <v:rect id="Rectángulo 1" o:spid="_x0000_s1026" style="position:absolute;left:0;text-align:left;margin-left:73.95pt;margin-top:-16.1pt;width:353.25pt;height:9.75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" fillcolor="#4f81bd [3204]" strokecolor="#243f60 [1604]" strokeweight="2pt"/>
        </w:pict>
      </w:r>
      <w:r w:rsidR="00656981" w:rsidRPr="00794680">
        <w:rPr>
          <w:rFonts w:ascii="Calibri" w:eastAsia="Calibri" w:hAnsi="Calibri"/>
          <w:b/>
          <w:bCs/>
          <w:color w:val="000000" w:themeColor="text1"/>
          <w:kern w:val="24"/>
        </w:rPr>
        <w:t>H. AYUNTAMIENTO DE COLIMA</w:t>
      </w:r>
    </w:p>
    <w:p w:rsidR="000F1309" w:rsidRPr="000D0FD0" w:rsidRDefault="00656981" w:rsidP="000D0FD0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bCs/>
          <w:color w:val="000000" w:themeColor="text1"/>
          <w:kern w:val="24"/>
        </w:rPr>
      </w:pPr>
      <w:r w:rsidRPr="00794680">
        <w:rPr>
          <w:rFonts w:ascii="Calibri" w:eastAsia="Calibri" w:hAnsi="Calibri"/>
          <w:b/>
          <w:bCs/>
          <w:color w:val="000000" w:themeColor="text1"/>
          <w:kern w:val="24"/>
        </w:rPr>
        <w:t xml:space="preserve">DIRECCIÓN GENERAL DE DESARROLLO HUMANO                                                                                                               </w:t>
      </w:r>
      <w:r w:rsidRPr="00794680">
        <w:rPr>
          <w:rFonts w:cstheme="minorBidi"/>
          <w:b/>
          <w:bCs/>
          <w:color w:val="000000"/>
          <w:kern w:val="24"/>
        </w:rPr>
        <w:t xml:space="preserve"> </w:t>
      </w:r>
      <w:r w:rsidRPr="00794680">
        <w:rPr>
          <w:rFonts w:ascii="Calibri" w:eastAsia="Calibri" w:hAnsi="Calibri"/>
          <w:b/>
          <w:bCs/>
          <w:color w:val="000000" w:themeColor="text1"/>
          <w:kern w:val="24"/>
        </w:rPr>
        <w:t xml:space="preserve">DIRECCIÓN DE DESARROLLO RURAL  </w:t>
      </w:r>
      <w:r w:rsidR="000F1309" w:rsidRPr="000F1309">
        <w:rPr>
          <w:rFonts w:ascii="Calibri" w:eastAsia="Calibri" w:hAnsi="Calibri"/>
          <w:b/>
          <w:bCs/>
          <w:color w:val="000000" w:themeColor="text1"/>
          <w:kern w:val="24"/>
          <w:sz w:val="28"/>
        </w:rPr>
        <w:tab/>
      </w:r>
    </w:p>
    <w:p w:rsidR="00794680" w:rsidRDefault="00656981" w:rsidP="000F1309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bCs/>
          <w:color w:val="000000" w:themeColor="text1"/>
          <w:kern w:val="24"/>
        </w:rPr>
      </w:pPr>
      <w:r w:rsidRPr="000F1309">
        <w:rPr>
          <w:rFonts w:ascii="Calibri" w:eastAsia="Calibri" w:hAnsi="Calibri"/>
          <w:b/>
          <w:bCs/>
          <w:color w:val="000000" w:themeColor="text1"/>
          <w:kern w:val="24"/>
        </w:rPr>
        <w:t>PROGRAMA DE FOMENTO DE LAS ACTIVIDADES ECONÓMICAS</w:t>
      </w:r>
      <w:r w:rsidR="00794680" w:rsidRPr="000F1309">
        <w:rPr>
          <w:rFonts w:ascii="Calibri" w:eastAsia="Calibri" w:hAnsi="Calibri"/>
          <w:b/>
          <w:bCs/>
          <w:color w:val="000000" w:themeColor="text1"/>
          <w:kern w:val="24"/>
        </w:rPr>
        <w:t xml:space="preserve"> </w:t>
      </w:r>
      <w:r w:rsidRPr="000F1309">
        <w:rPr>
          <w:rFonts w:ascii="Calibri" w:eastAsia="Calibri" w:hAnsi="Calibri"/>
          <w:b/>
          <w:bCs/>
          <w:color w:val="000000" w:themeColor="text1"/>
          <w:kern w:val="24"/>
        </w:rPr>
        <w:t>EN LA SOCIEDAD RURAL</w:t>
      </w:r>
    </w:p>
    <w:p w:rsidR="000D0FD0" w:rsidRDefault="000D0FD0" w:rsidP="000F1309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bCs/>
          <w:color w:val="000000" w:themeColor="text1"/>
          <w:kern w:val="24"/>
        </w:rPr>
      </w:pPr>
    </w:p>
    <w:p w:rsidR="00CB1305" w:rsidRDefault="00CB1305" w:rsidP="009E04AD">
      <w:pPr>
        <w:pStyle w:val="NormalWeb"/>
        <w:spacing w:before="0" w:beforeAutospacing="0" w:after="0" w:afterAutospacing="0"/>
        <w:rPr>
          <w:rFonts w:ascii="Calibri" w:eastAsia="Calibri" w:hAnsi="Calibri"/>
          <w:b/>
          <w:bCs/>
          <w:color w:val="000000" w:themeColor="text1"/>
          <w:kern w:val="24"/>
        </w:rPr>
      </w:pPr>
    </w:p>
    <w:p w:rsidR="000D0FD0" w:rsidRPr="000F1309" w:rsidRDefault="00A06C95" w:rsidP="000D0FD0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bCs/>
          <w:color w:val="000000" w:themeColor="text1"/>
          <w:kern w:val="24"/>
        </w:rPr>
      </w:pPr>
      <w:r>
        <w:rPr>
          <w:rFonts w:ascii="Calibri" w:eastAsia="Calibri" w:hAnsi="Calibri"/>
          <w:b/>
          <w:bCs/>
          <w:color w:val="000000" w:themeColor="text1"/>
          <w:kern w:val="24"/>
        </w:rPr>
        <w:t xml:space="preserve">INCENTIVOS DE </w:t>
      </w:r>
      <w:r w:rsidR="000D0FD0">
        <w:rPr>
          <w:rFonts w:ascii="Calibri" w:eastAsia="Calibri" w:hAnsi="Calibri"/>
          <w:b/>
          <w:bCs/>
          <w:color w:val="000000" w:themeColor="text1"/>
          <w:kern w:val="24"/>
        </w:rPr>
        <w:t>APOYO A LA CADENA PRODUCTIVA GANADO BOVINO</w:t>
      </w:r>
    </w:p>
    <w:p w:rsidR="000F1309" w:rsidRDefault="000F1309" w:rsidP="000F1309">
      <w:pPr>
        <w:spacing w:after="0" w:line="240" w:lineRule="auto"/>
        <w:jc w:val="center"/>
        <w:rPr>
          <w:rFonts w:eastAsia="Times New Roman" w:cs="Arial"/>
          <w:b/>
          <w:color w:val="000000" w:themeColor="text1"/>
          <w:sz w:val="24"/>
          <w:szCs w:val="24"/>
          <w:lang w:eastAsia="es-MX"/>
        </w:rPr>
      </w:pPr>
      <w:r w:rsidRPr="000F1309">
        <w:rPr>
          <w:rFonts w:eastAsia="Times New Roman" w:cs="Arial"/>
          <w:b/>
          <w:color w:val="000000" w:themeColor="text1"/>
          <w:sz w:val="24"/>
          <w:szCs w:val="24"/>
          <w:lang w:eastAsia="es-MX"/>
        </w:rPr>
        <w:t>C O N V O C A T O R I A</w:t>
      </w:r>
    </w:p>
    <w:p w:rsidR="000F1309" w:rsidRPr="000F1309" w:rsidRDefault="000F1309" w:rsidP="00740BC3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  <w:lang w:eastAsia="es-MX"/>
        </w:rPr>
      </w:pPr>
    </w:p>
    <w:p w:rsidR="000F1309" w:rsidRDefault="000F1309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>Con fundamento en lo establecido en el Presupuesto de Egresos 2017 del H. Ay</w:t>
      </w:r>
      <w:r w:rsidR="00B7105F">
        <w:rPr>
          <w:rFonts w:eastAsia="Times New Roman" w:cs="Arial"/>
          <w:sz w:val="24"/>
          <w:szCs w:val="24"/>
          <w:lang w:eastAsia="es-MX"/>
        </w:rPr>
        <w:t xml:space="preserve">untamiento de Colima y con lo dispuesto en los Artículos 1, 3, 4, y 12 del Reglamento del Consejo Municipal para el Desarrollo Rural Sustentable del Municipio de Colima, </w:t>
      </w:r>
      <w:r w:rsidR="000D0FD0">
        <w:rPr>
          <w:rFonts w:eastAsia="Times New Roman" w:cs="Arial"/>
          <w:sz w:val="24"/>
          <w:szCs w:val="24"/>
          <w:lang w:eastAsia="es-MX"/>
        </w:rPr>
        <w:t xml:space="preserve">se </w:t>
      </w:r>
      <w:r w:rsidR="00B7105F">
        <w:rPr>
          <w:rFonts w:eastAsia="Times New Roman" w:cs="Arial"/>
          <w:sz w:val="24"/>
          <w:szCs w:val="24"/>
          <w:lang w:eastAsia="es-MX"/>
        </w:rPr>
        <w:t>convoca</w:t>
      </w:r>
      <w:r w:rsidR="000D0FD0">
        <w:rPr>
          <w:rFonts w:eastAsia="Times New Roman" w:cs="Arial"/>
          <w:sz w:val="24"/>
          <w:szCs w:val="24"/>
          <w:lang w:eastAsia="es-MX"/>
        </w:rPr>
        <w:t xml:space="preserve"> a personas </w:t>
      </w:r>
      <w:r w:rsidRPr="005963B0">
        <w:rPr>
          <w:rFonts w:eastAsia="Times New Roman" w:cs="Arial"/>
          <w:sz w:val="24"/>
          <w:szCs w:val="24"/>
          <w:lang w:eastAsia="es-MX"/>
        </w:rPr>
        <w:t>físicas y morales, que se dediq</w:t>
      </w:r>
      <w:r w:rsidR="000D0FD0">
        <w:rPr>
          <w:rFonts w:eastAsia="Times New Roman" w:cs="Arial"/>
          <w:sz w:val="24"/>
          <w:szCs w:val="24"/>
          <w:lang w:eastAsia="es-MX"/>
        </w:rPr>
        <w:t>uen a actividades agropecuarias</w:t>
      </w:r>
      <w:r w:rsidR="00B7105F">
        <w:rPr>
          <w:rFonts w:eastAsia="Times New Roman" w:cs="Arial"/>
          <w:sz w:val="24"/>
          <w:szCs w:val="24"/>
          <w:lang w:eastAsia="es-MX"/>
        </w:rPr>
        <w:t xml:space="preserve">, a tramitar su solicitud </w:t>
      </w:r>
      <w:r w:rsidRPr="005963B0">
        <w:rPr>
          <w:rFonts w:eastAsia="Times New Roman" w:cs="Arial"/>
          <w:sz w:val="24"/>
          <w:szCs w:val="24"/>
          <w:lang w:eastAsia="es-MX"/>
        </w:rPr>
        <w:t xml:space="preserve"> para fortalecer la productividad </w:t>
      </w:r>
      <w:r w:rsidR="000D0FD0">
        <w:rPr>
          <w:rFonts w:eastAsia="Times New Roman" w:cs="Arial"/>
          <w:sz w:val="24"/>
          <w:szCs w:val="24"/>
          <w:lang w:eastAsia="es-MX"/>
        </w:rPr>
        <w:t xml:space="preserve">mediante incentivos económicos  </w:t>
      </w:r>
      <w:r w:rsidRPr="005963B0">
        <w:rPr>
          <w:rFonts w:eastAsia="Times New Roman" w:cs="Arial"/>
          <w:sz w:val="24"/>
          <w:szCs w:val="24"/>
          <w:lang w:eastAsia="es-MX"/>
        </w:rPr>
        <w:t xml:space="preserve">para la adquisición y uso de insumos que incidan en </w:t>
      </w:r>
      <w:r w:rsidR="000D0FD0">
        <w:rPr>
          <w:rFonts w:eastAsia="Times New Roman" w:cs="Arial"/>
          <w:sz w:val="24"/>
          <w:szCs w:val="24"/>
          <w:lang w:eastAsia="es-MX"/>
        </w:rPr>
        <w:t xml:space="preserve">el mejoramiento de las alternativas forrajeras, incremento de la productividad primaria y generación de valor, </w:t>
      </w:r>
      <w:r w:rsidRPr="005963B0">
        <w:rPr>
          <w:rFonts w:eastAsia="Times New Roman" w:cs="Arial"/>
          <w:sz w:val="24"/>
          <w:szCs w:val="24"/>
          <w:lang w:eastAsia="es-MX"/>
        </w:rPr>
        <w:t xml:space="preserve">bajo las siguientes: </w:t>
      </w:r>
    </w:p>
    <w:p w:rsidR="000D0FD0" w:rsidRPr="005963B0" w:rsidRDefault="000D0FD0" w:rsidP="00740BC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</w:p>
    <w:p w:rsidR="000F1309" w:rsidRDefault="000F1309" w:rsidP="00740BC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s-MX"/>
        </w:rPr>
      </w:pPr>
      <w:r w:rsidRPr="005963B0">
        <w:rPr>
          <w:rFonts w:eastAsia="Times New Roman" w:cs="Arial"/>
          <w:sz w:val="24"/>
          <w:szCs w:val="24"/>
          <w:lang w:eastAsia="es-MX"/>
        </w:rPr>
        <w:t>BASES</w:t>
      </w:r>
    </w:p>
    <w:p w:rsidR="00740BC3" w:rsidRPr="005963B0" w:rsidRDefault="00740BC3" w:rsidP="00740BC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</w:p>
    <w:p w:rsidR="000F1309" w:rsidRDefault="00B7105F" w:rsidP="00740BC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>OBJETIVO</w:t>
      </w:r>
      <w:r w:rsidR="00A06C95">
        <w:rPr>
          <w:rFonts w:eastAsia="Times New Roman" w:cs="Arial"/>
          <w:sz w:val="24"/>
          <w:szCs w:val="24"/>
          <w:lang w:eastAsia="es-MX"/>
        </w:rPr>
        <w:t xml:space="preserve"> DEL APOYO</w:t>
      </w:r>
      <w:r w:rsidR="00740BC3">
        <w:rPr>
          <w:rFonts w:eastAsia="Times New Roman" w:cs="Arial"/>
          <w:sz w:val="24"/>
          <w:szCs w:val="24"/>
          <w:lang w:eastAsia="es-MX"/>
        </w:rPr>
        <w:t xml:space="preserve">: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 xml:space="preserve">Incentivar económicamente a </w:t>
      </w:r>
      <w:r w:rsidR="00740BC3">
        <w:rPr>
          <w:rFonts w:eastAsia="Times New Roman" w:cs="Arial"/>
          <w:sz w:val="24"/>
          <w:szCs w:val="24"/>
          <w:lang w:eastAsia="es-MX"/>
        </w:rPr>
        <w:t>las Unida</w:t>
      </w:r>
      <w:r w:rsidR="00D263C2">
        <w:rPr>
          <w:rFonts w:eastAsia="Times New Roman" w:cs="Arial"/>
          <w:sz w:val="24"/>
          <w:szCs w:val="24"/>
          <w:lang w:eastAsia="es-MX"/>
        </w:rPr>
        <w:t>des de Producción Pecuaria para incrementar la productividad primaria, estimulando la producción del pasto cubano CT 115 (</w:t>
      </w:r>
      <w:proofErr w:type="spellStart"/>
      <w:r w:rsidR="00D263C2">
        <w:rPr>
          <w:rFonts w:eastAsia="Times New Roman" w:cs="Arial"/>
          <w:sz w:val="24"/>
          <w:szCs w:val="24"/>
          <w:lang w:eastAsia="es-MX"/>
        </w:rPr>
        <w:t>Pennisetum</w:t>
      </w:r>
      <w:proofErr w:type="spellEnd"/>
      <w:r w:rsidR="00D263C2">
        <w:rPr>
          <w:rFonts w:eastAsia="Times New Roman" w:cs="Arial"/>
          <w:sz w:val="24"/>
          <w:szCs w:val="24"/>
          <w:lang w:eastAsia="es-MX"/>
        </w:rPr>
        <w:t xml:space="preserve"> </w:t>
      </w:r>
      <w:proofErr w:type="spellStart"/>
      <w:r w:rsidR="00D263C2">
        <w:rPr>
          <w:rFonts w:eastAsia="Times New Roman" w:cs="Arial"/>
          <w:sz w:val="24"/>
          <w:szCs w:val="24"/>
          <w:lang w:eastAsia="es-MX"/>
        </w:rPr>
        <w:t>purpureum</w:t>
      </w:r>
      <w:proofErr w:type="spellEnd"/>
      <w:r w:rsidR="00D263C2">
        <w:rPr>
          <w:rFonts w:eastAsia="Times New Roman" w:cs="Arial"/>
          <w:sz w:val="24"/>
          <w:szCs w:val="24"/>
          <w:lang w:eastAsia="es-MX"/>
        </w:rPr>
        <w:t>)</w:t>
      </w:r>
    </w:p>
    <w:p w:rsidR="00740BC3" w:rsidRPr="005963B0" w:rsidRDefault="00740BC3" w:rsidP="00740BC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</w:p>
    <w:p w:rsidR="000F1309" w:rsidRDefault="00740BC3" w:rsidP="00C368A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>POBLACIÓN OBJETIVO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:</w:t>
      </w:r>
      <w:r>
        <w:rPr>
          <w:rFonts w:eastAsia="Times New Roman" w:cs="Arial"/>
          <w:sz w:val="24"/>
          <w:szCs w:val="24"/>
          <w:lang w:eastAsia="es-MX"/>
        </w:rPr>
        <w:t xml:space="preserve"> Productores</w:t>
      </w:r>
      <w:r w:rsidR="0031154C">
        <w:rPr>
          <w:rFonts w:eastAsia="Times New Roman" w:cs="Arial"/>
          <w:sz w:val="24"/>
          <w:szCs w:val="24"/>
          <w:lang w:eastAsia="es-MX"/>
        </w:rPr>
        <w:t xml:space="preserve"> ganaderos del Municipio de Colima, </w:t>
      </w:r>
      <w:r>
        <w:rPr>
          <w:rFonts w:eastAsia="Times New Roman" w:cs="Arial"/>
          <w:sz w:val="24"/>
          <w:szCs w:val="24"/>
          <w:lang w:eastAsia="es-MX"/>
        </w:rPr>
        <w:t xml:space="preserve">en aquellas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zonas donde</w:t>
      </w:r>
      <w:r w:rsidR="00C368AC">
        <w:rPr>
          <w:rFonts w:eastAsia="Times New Roman" w:cs="Arial"/>
          <w:sz w:val="24"/>
          <w:szCs w:val="24"/>
          <w:lang w:eastAsia="es-MX"/>
        </w:rPr>
        <w:t xml:space="preserve"> se requieran alternativas forrajeras y de </w:t>
      </w:r>
      <w:proofErr w:type="spellStart"/>
      <w:r w:rsidR="00C368AC">
        <w:rPr>
          <w:rFonts w:eastAsia="Times New Roman" w:cs="Arial"/>
          <w:sz w:val="24"/>
          <w:szCs w:val="24"/>
          <w:lang w:eastAsia="es-MX"/>
        </w:rPr>
        <w:t>suplementación</w:t>
      </w:r>
      <w:proofErr w:type="spellEnd"/>
      <w:r w:rsidR="00C368AC">
        <w:rPr>
          <w:rFonts w:eastAsia="Times New Roman" w:cs="Arial"/>
          <w:sz w:val="24"/>
          <w:szCs w:val="24"/>
          <w:lang w:eastAsia="es-MX"/>
        </w:rPr>
        <w:t xml:space="preserve"> alimenticia para el incremento de la productividad en l</w:t>
      </w:r>
      <w:r w:rsidR="0006066D">
        <w:rPr>
          <w:rFonts w:eastAsia="Times New Roman" w:cs="Arial"/>
          <w:sz w:val="24"/>
          <w:szCs w:val="24"/>
          <w:lang w:eastAsia="es-MX"/>
        </w:rPr>
        <w:t>a alimentación del ganado</w:t>
      </w:r>
      <w:r w:rsidR="00C368AC">
        <w:rPr>
          <w:rFonts w:eastAsia="Times New Roman" w:cs="Arial"/>
          <w:sz w:val="24"/>
          <w:szCs w:val="24"/>
          <w:lang w:eastAsia="es-MX"/>
        </w:rPr>
        <w:t>. P</w:t>
      </w:r>
      <w:r w:rsidR="000F1309" w:rsidRPr="00C368AC">
        <w:rPr>
          <w:rFonts w:eastAsia="Times New Roman" w:cs="Arial"/>
          <w:sz w:val="24"/>
          <w:szCs w:val="24"/>
          <w:lang w:eastAsia="es-MX"/>
        </w:rPr>
        <w:t>rioritariamente el apoyo</w:t>
      </w:r>
      <w:r w:rsidR="00C368AC">
        <w:rPr>
          <w:rFonts w:eastAsia="Times New Roman" w:cs="Arial"/>
          <w:sz w:val="24"/>
          <w:szCs w:val="24"/>
          <w:lang w:eastAsia="es-MX"/>
        </w:rPr>
        <w:t xml:space="preserve"> será orientado  a los pequeños productores y a las unidades de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producción de menor tamaño.</w:t>
      </w:r>
    </w:p>
    <w:p w:rsidR="00C368AC" w:rsidRPr="005963B0" w:rsidRDefault="00C368AC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</w:p>
    <w:p w:rsidR="000F1309" w:rsidRPr="005963B0" w:rsidRDefault="000F1309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5963B0">
        <w:rPr>
          <w:rFonts w:eastAsia="Times New Roman" w:cs="Arial"/>
          <w:sz w:val="24"/>
          <w:szCs w:val="24"/>
          <w:lang w:eastAsia="es-MX"/>
        </w:rPr>
        <w:t>REQUISITOS GENERALES DE ELEGIB</w:t>
      </w:r>
      <w:r w:rsidR="00C368AC">
        <w:rPr>
          <w:rFonts w:eastAsia="Times New Roman" w:cs="Arial"/>
          <w:sz w:val="24"/>
          <w:szCs w:val="24"/>
          <w:lang w:eastAsia="es-MX"/>
        </w:rPr>
        <w:t>ILIDAD</w:t>
      </w:r>
      <w:r w:rsidRPr="005963B0">
        <w:rPr>
          <w:rFonts w:eastAsia="Times New Roman" w:cs="Arial"/>
          <w:sz w:val="24"/>
          <w:szCs w:val="24"/>
          <w:lang w:eastAsia="es-MX"/>
        </w:rPr>
        <w:t xml:space="preserve">: </w:t>
      </w:r>
      <w:r w:rsidR="00C368AC">
        <w:rPr>
          <w:rFonts w:eastAsia="Times New Roman" w:cs="Arial"/>
          <w:sz w:val="24"/>
          <w:szCs w:val="24"/>
          <w:lang w:eastAsia="es-MX"/>
        </w:rPr>
        <w:t>Serán elegibles para obtener estos</w:t>
      </w:r>
      <w:r w:rsidRPr="005963B0">
        <w:rPr>
          <w:rFonts w:eastAsia="Times New Roman" w:cs="Arial"/>
          <w:sz w:val="24"/>
          <w:szCs w:val="24"/>
          <w:lang w:eastAsia="es-MX"/>
        </w:rPr>
        <w:t xml:space="preserve"> incentivos</w:t>
      </w:r>
      <w:r w:rsidR="00C368AC">
        <w:rPr>
          <w:rFonts w:eastAsia="Times New Roman" w:cs="Arial"/>
          <w:sz w:val="24"/>
          <w:szCs w:val="24"/>
          <w:lang w:eastAsia="es-MX"/>
        </w:rPr>
        <w:t xml:space="preserve">, los </w:t>
      </w:r>
      <w:r w:rsidRPr="005963B0">
        <w:rPr>
          <w:rFonts w:eastAsia="Times New Roman" w:cs="Arial"/>
          <w:sz w:val="24"/>
          <w:szCs w:val="24"/>
          <w:lang w:eastAsia="es-MX"/>
        </w:rPr>
        <w:t>productores que cumplan con lo siguiente:</w:t>
      </w:r>
    </w:p>
    <w:p w:rsidR="000F1309" w:rsidRPr="001B5F5D" w:rsidRDefault="000F1309" w:rsidP="001B5F5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1B5F5D">
        <w:rPr>
          <w:rFonts w:eastAsia="Times New Roman" w:cs="Arial"/>
          <w:sz w:val="24"/>
          <w:szCs w:val="24"/>
          <w:lang w:eastAsia="es-MX"/>
        </w:rPr>
        <w:t>El productor interesado</w:t>
      </w:r>
      <w:r w:rsidR="00C368AC" w:rsidRPr="001B5F5D">
        <w:rPr>
          <w:rFonts w:eastAsia="Times New Roman" w:cs="Arial"/>
          <w:sz w:val="24"/>
          <w:szCs w:val="24"/>
          <w:lang w:eastAsia="es-MX"/>
        </w:rPr>
        <w:t xml:space="preserve"> </w:t>
      </w:r>
      <w:r w:rsidRPr="001B5F5D">
        <w:rPr>
          <w:rFonts w:eastAsia="Times New Roman" w:cs="Arial"/>
          <w:sz w:val="24"/>
          <w:szCs w:val="24"/>
          <w:lang w:eastAsia="es-MX"/>
        </w:rPr>
        <w:t>en recibir los incentivos deberá presentar su solicitud</w:t>
      </w:r>
      <w:r w:rsidR="00C368AC" w:rsidRPr="001B5F5D">
        <w:rPr>
          <w:rFonts w:eastAsia="Times New Roman" w:cs="Arial"/>
          <w:sz w:val="24"/>
          <w:szCs w:val="24"/>
          <w:lang w:eastAsia="es-MX"/>
        </w:rPr>
        <w:t xml:space="preserve"> </w:t>
      </w:r>
      <w:r w:rsidRPr="001B5F5D">
        <w:rPr>
          <w:rFonts w:eastAsia="Times New Roman" w:cs="Arial"/>
          <w:sz w:val="24"/>
          <w:szCs w:val="24"/>
          <w:lang w:eastAsia="es-MX"/>
        </w:rPr>
        <w:t xml:space="preserve">en las ventanillas físicas, </w:t>
      </w:r>
      <w:proofErr w:type="gramStart"/>
      <w:r w:rsidRPr="001B5F5D">
        <w:rPr>
          <w:rFonts w:eastAsia="Times New Roman" w:cs="Arial"/>
          <w:sz w:val="24"/>
          <w:szCs w:val="24"/>
          <w:lang w:eastAsia="es-MX"/>
        </w:rPr>
        <w:t>utilizando</w:t>
      </w:r>
      <w:proofErr w:type="gramEnd"/>
      <w:r w:rsidRPr="001B5F5D">
        <w:rPr>
          <w:rFonts w:eastAsia="Times New Roman" w:cs="Arial"/>
          <w:sz w:val="24"/>
          <w:szCs w:val="24"/>
          <w:lang w:eastAsia="es-MX"/>
        </w:rPr>
        <w:t xml:space="preserve"> el formato</w:t>
      </w:r>
      <w:r w:rsidR="00C368AC" w:rsidRPr="001B5F5D">
        <w:rPr>
          <w:rFonts w:eastAsia="Times New Roman" w:cs="Arial"/>
          <w:sz w:val="24"/>
          <w:szCs w:val="24"/>
          <w:lang w:eastAsia="es-MX"/>
        </w:rPr>
        <w:t xml:space="preserve"> establecido</w:t>
      </w:r>
      <w:r w:rsidRPr="001B5F5D">
        <w:rPr>
          <w:rFonts w:eastAsia="Times New Roman" w:cs="Arial"/>
          <w:sz w:val="24"/>
          <w:szCs w:val="24"/>
          <w:lang w:eastAsia="es-MX"/>
        </w:rPr>
        <w:t>; acompañado</w:t>
      </w:r>
      <w:r w:rsidR="00C368AC" w:rsidRPr="001B5F5D">
        <w:rPr>
          <w:rFonts w:eastAsia="Times New Roman" w:cs="Arial"/>
          <w:sz w:val="24"/>
          <w:szCs w:val="24"/>
          <w:lang w:eastAsia="es-MX"/>
        </w:rPr>
        <w:t xml:space="preserve"> </w:t>
      </w:r>
      <w:r w:rsidRPr="001B5F5D">
        <w:rPr>
          <w:rFonts w:eastAsia="Times New Roman" w:cs="Arial"/>
          <w:sz w:val="24"/>
          <w:szCs w:val="24"/>
          <w:lang w:eastAsia="es-MX"/>
        </w:rPr>
        <w:t>de copia simple y original, con fines de cotejo, de los siguientes documentos.</w:t>
      </w:r>
    </w:p>
    <w:p w:rsidR="000F1309" w:rsidRPr="005963B0" w:rsidRDefault="000F1309" w:rsidP="001B5F5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5963B0">
        <w:rPr>
          <w:rFonts w:eastAsia="Times New Roman" w:cs="Arial"/>
          <w:sz w:val="24"/>
          <w:szCs w:val="24"/>
          <w:lang w:eastAsia="es-MX"/>
        </w:rPr>
        <w:t>Personas físicas mayor</w:t>
      </w:r>
      <w:r w:rsidR="001B5F5D">
        <w:rPr>
          <w:rFonts w:eastAsia="Times New Roman" w:cs="Arial"/>
          <w:sz w:val="24"/>
          <w:szCs w:val="24"/>
          <w:lang w:eastAsia="es-MX"/>
        </w:rPr>
        <w:t>es</w:t>
      </w:r>
      <w:r w:rsidRPr="005963B0">
        <w:rPr>
          <w:rFonts w:eastAsia="Times New Roman" w:cs="Arial"/>
          <w:sz w:val="24"/>
          <w:szCs w:val="24"/>
          <w:lang w:eastAsia="es-MX"/>
        </w:rPr>
        <w:t xml:space="preserve"> de edad:</w:t>
      </w:r>
    </w:p>
    <w:p w:rsidR="000F1309" w:rsidRPr="005963B0" w:rsidRDefault="00C368AC" w:rsidP="001B5F5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 xml:space="preserve">a)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Identificación oficial vig</w:t>
      </w:r>
      <w:r w:rsidR="001B5F5D">
        <w:rPr>
          <w:rFonts w:eastAsia="Times New Roman" w:cs="Arial"/>
          <w:sz w:val="24"/>
          <w:szCs w:val="24"/>
          <w:lang w:eastAsia="es-MX"/>
        </w:rPr>
        <w:t>ente (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Credencial para votar, Pasaporte, Cartilla del Servicio Militar Nacional o la Cedula Profesional);</w:t>
      </w:r>
    </w:p>
    <w:p w:rsidR="000F1309" w:rsidRPr="005963B0" w:rsidRDefault="00C368AC" w:rsidP="001B5F5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 xml:space="preserve">b)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 xml:space="preserve">CURP; en los casos en que presenten identificación oficial y la misma contenga la </w:t>
      </w:r>
      <w:r w:rsidR="001B5F5D">
        <w:rPr>
          <w:rFonts w:eastAsia="Times New Roman" w:cs="Arial"/>
          <w:sz w:val="24"/>
          <w:szCs w:val="24"/>
          <w:lang w:eastAsia="es-MX"/>
        </w:rPr>
        <w:t>CURP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, no será necesario presentar esta;</w:t>
      </w:r>
    </w:p>
    <w:p w:rsidR="000F1309" w:rsidRPr="005963B0" w:rsidRDefault="000F1309" w:rsidP="001B5F5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5963B0">
        <w:rPr>
          <w:rFonts w:eastAsia="Times New Roman" w:cs="Arial"/>
          <w:sz w:val="24"/>
          <w:szCs w:val="24"/>
          <w:lang w:eastAsia="es-MX"/>
        </w:rPr>
        <w:t>c)</w:t>
      </w:r>
      <w:r w:rsidR="001B5F5D">
        <w:rPr>
          <w:rFonts w:eastAsia="Times New Roman" w:cs="Arial"/>
          <w:sz w:val="24"/>
          <w:szCs w:val="24"/>
          <w:lang w:eastAsia="es-MX"/>
        </w:rPr>
        <w:t xml:space="preserve"> </w:t>
      </w:r>
      <w:r w:rsidRPr="005963B0">
        <w:rPr>
          <w:rFonts w:eastAsia="Times New Roman" w:cs="Arial"/>
          <w:sz w:val="24"/>
          <w:szCs w:val="24"/>
          <w:lang w:eastAsia="es-MX"/>
        </w:rPr>
        <w:t>Comprobante de domicilio del solicitante (Luz, teléfono, predial, agua) con una vigencia no mayor a tres meses anteriores a la fecha de solicitud;</w:t>
      </w:r>
    </w:p>
    <w:p w:rsidR="000F1309" w:rsidRPr="005963B0" w:rsidRDefault="000F1309" w:rsidP="001B5F5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5963B0">
        <w:rPr>
          <w:rFonts w:eastAsia="Times New Roman" w:cs="Arial"/>
          <w:sz w:val="24"/>
          <w:szCs w:val="24"/>
          <w:lang w:eastAsia="es-MX"/>
        </w:rPr>
        <w:t>d)</w:t>
      </w:r>
      <w:r w:rsidR="001B5F5D">
        <w:rPr>
          <w:rFonts w:eastAsia="Times New Roman" w:cs="Arial"/>
          <w:sz w:val="24"/>
          <w:szCs w:val="24"/>
          <w:lang w:eastAsia="es-MX"/>
        </w:rPr>
        <w:t xml:space="preserve"> Documento que acredita </w:t>
      </w:r>
      <w:r w:rsidR="0006066D">
        <w:rPr>
          <w:rFonts w:eastAsia="Times New Roman" w:cs="Arial"/>
          <w:sz w:val="24"/>
          <w:szCs w:val="24"/>
          <w:lang w:eastAsia="es-MX"/>
        </w:rPr>
        <w:t>la legal posesión del predio o contrato de arrendamiento o comodato vigente mínimo de tres años.</w:t>
      </w:r>
    </w:p>
    <w:p w:rsidR="000F1309" w:rsidRPr="005963B0" w:rsidRDefault="000F1309" w:rsidP="001B5F5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</w:p>
    <w:p w:rsidR="00D263C2" w:rsidRDefault="00D263C2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</w:p>
    <w:p w:rsidR="00D263C2" w:rsidRDefault="00D263C2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</w:p>
    <w:p w:rsidR="00A06C95" w:rsidRDefault="00A06C95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</w:p>
    <w:p w:rsidR="00A06C95" w:rsidRDefault="00A06C95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</w:p>
    <w:p w:rsidR="00A06C95" w:rsidRDefault="00A06C95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</w:p>
    <w:p w:rsidR="009E04AD" w:rsidRDefault="009E04AD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</w:p>
    <w:p w:rsidR="00D263C2" w:rsidRDefault="00D263C2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</w:p>
    <w:p w:rsidR="000F1309" w:rsidRDefault="001B5F5D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 xml:space="preserve">CARACTERÍSTICAS DEL INCENTIVO: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Se otorga conforme a los conceptos y montos siguientes:</w:t>
      </w:r>
    </w:p>
    <w:p w:rsidR="001B5F5D" w:rsidRDefault="001B5F5D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/>
      </w:tblPr>
      <w:tblGrid>
        <w:gridCol w:w="5168"/>
        <w:gridCol w:w="5169"/>
      </w:tblGrid>
      <w:tr w:rsidR="00D263C2" w:rsidTr="00D263C2">
        <w:tc>
          <w:tcPr>
            <w:tcW w:w="5168" w:type="dxa"/>
          </w:tcPr>
          <w:p w:rsidR="00D263C2" w:rsidRDefault="00D263C2" w:rsidP="00D263C2">
            <w:pPr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CONCEPTO DE APOYO</w:t>
            </w:r>
          </w:p>
        </w:tc>
        <w:tc>
          <w:tcPr>
            <w:tcW w:w="5169" w:type="dxa"/>
          </w:tcPr>
          <w:p w:rsidR="00D263C2" w:rsidRDefault="00D263C2" w:rsidP="00D263C2">
            <w:pPr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MONTO</w:t>
            </w:r>
          </w:p>
        </w:tc>
      </w:tr>
      <w:tr w:rsidR="0027727E" w:rsidTr="00BE00AF">
        <w:trPr>
          <w:trHeight w:val="231"/>
        </w:trPr>
        <w:tc>
          <w:tcPr>
            <w:tcW w:w="5168" w:type="dxa"/>
          </w:tcPr>
          <w:p w:rsidR="0027727E" w:rsidRDefault="0027727E" w:rsidP="000F1309">
            <w:pPr>
              <w:jc w:val="both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Preparación del terreno</w:t>
            </w:r>
          </w:p>
        </w:tc>
        <w:tc>
          <w:tcPr>
            <w:tcW w:w="5169" w:type="dxa"/>
          </w:tcPr>
          <w:p w:rsidR="0027727E" w:rsidRDefault="00FF080B" w:rsidP="00BE00AF">
            <w:pPr>
              <w:jc w:val="both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1,500.00/ha. Máximo 3-00 has.</w:t>
            </w:r>
          </w:p>
        </w:tc>
      </w:tr>
      <w:tr w:rsidR="0027727E" w:rsidTr="00D263C2">
        <w:tc>
          <w:tcPr>
            <w:tcW w:w="5168" w:type="dxa"/>
          </w:tcPr>
          <w:p w:rsidR="0027727E" w:rsidRDefault="0027727E" w:rsidP="000F1309">
            <w:pPr>
              <w:jc w:val="both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Semilla</w:t>
            </w:r>
          </w:p>
        </w:tc>
        <w:tc>
          <w:tcPr>
            <w:tcW w:w="5169" w:type="dxa"/>
          </w:tcPr>
          <w:p w:rsidR="0027727E" w:rsidRDefault="001A66E6" w:rsidP="000F1309">
            <w:pPr>
              <w:jc w:val="both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3,0</w:t>
            </w:r>
            <w:r w:rsidR="00FF080B">
              <w:rPr>
                <w:rFonts w:eastAsia="Times New Roman" w:cs="Arial"/>
                <w:sz w:val="24"/>
                <w:szCs w:val="24"/>
                <w:lang w:eastAsia="es-MX"/>
              </w:rPr>
              <w:t>00.00/ha. Máximo 3-00 has.</w:t>
            </w:r>
          </w:p>
        </w:tc>
      </w:tr>
      <w:tr w:rsidR="0027727E" w:rsidTr="00D263C2">
        <w:tc>
          <w:tcPr>
            <w:tcW w:w="5168" w:type="dxa"/>
          </w:tcPr>
          <w:p w:rsidR="0027727E" w:rsidRDefault="0027727E" w:rsidP="000F1309">
            <w:pPr>
              <w:jc w:val="both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Fertilizante</w:t>
            </w:r>
            <w:r w:rsidR="00001F56">
              <w:rPr>
                <w:rFonts w:eastAsia="Times New Roman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169" w:type="dxa"/>
          </w:tcPr>
          <w:p w:rsidR="0027727E" w:rsidRDefault="001A66E6" w:rsidP="000F1309">
            <w:pPr>
              <w:jc w:val="both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1,000.00/ha. Máximo 3-00 has</w:t>
            </w:r>
          </w:p>
        </w:tc>
      </w:tr>
      <w:tr w:rsidR="0027727E" w:rsidTr="00D263C2">
        <w:tc>
          <w:tcPr>
            <w:tcW w:w="5168" w:type="dxa"/>
          </w:tcPr>
          <w:p w:rsidR="0027727E" w:rsidRDefault="0027727E" w:rsidP="000F1309">
            <w:pPr>
              <w:jc w:val="both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Herbicida</w:t>
            </w:r>
          </w:p>
        </w:tc>
        <w:tc>
          <w:tcPr>
            <w:tcW w:w="5169" w:type="dxa"/>
          </w:tcPr>
          <w:p w:rsidR="0027727E" w:rsidRDefault="001A66E6" w:rsidP="000F1309">
            <w:pPr>
              <w:jc w:val="both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300</w:t>
            </w:r>
            <w:r w:rsidR="00001F56">
              <w:rPr>
                <w:rFonts w:eastAsia="Times New Roman" w:cs="Arial"/>
                <w:sz w:val="24"/>
                <w:szCs w:val="24"/>
                <w:lang w:eastAsia="es-MX"/>
              </w:rPr>
              <w:t xml:space="preserve">.00/ha. </w:t>
            </w:r>
            <w:r w:rsidR="00F0002D">
              <w:rPr>
                <w:rFonts w:eastAsia="Times New Roman" w:cs="Arial"/>
                <w:sz w:val="24"/>
                <w:szCs w:val="24"/>
                <w:lang w:eastAsia="es-MX"/>
              </w:rPr>
              <w:t xml:space="preserve">   </w:t>
            </w:r>
            <w:r w:rsidR="00001F56">
              <w:rPr>
                <w:rFonts w:eastAsia="Times New Roman" w:cs="Arial"/>
                <w:sz w:val="24"/>
                <w:szCs w:val="24"/>
                <w:lang w:eastAsia="es-MX"/>
              </w:rPr>
              <w:t>Máximo</w:t>
            </w:r>
            <w:r w:rsidR="00F0002D">
              <w:rPr>
                <w:rFonts w:eastAsia="Times New Roman" w:cs="Arial"/>
                <w:sz w:val="24"/>
                <w:szCs w:val="24"/>
                <w:lang w:eastAsia="es-MX"/>
              </w:rPr>
              <w:t xml:space="preserve"> </w:t>
            </w:r>
            <w:r w:rsidR="00001F56">
              <w:rPr>
                <w:rFonts w:eastAsia="Times New Roman" w:cs="Arial"/>
                <w:sz w:val="24"/>
                <w:szCs w:val="24"/>
                <w:lang w:eastAsia="es-MX"/>
              </w:rPr>
              <w:t>3-00 has.</w:t>
            </w:r>
          </w:p>
        </w:tc>
      </w:tr>
      <w:tr w:rsidR="0027727E" w:rsidTr="00D263C2">
        <w:tc>
          <w:tcPr>
            <w:tcW w:w="5168" w:type="dxa"/>
          </w:tcPr>
          <w:p w:rsidR="0027727E" w:rsidRDefault="0027727E" w:rsidP="000F1309">
            <w:pPr>
              <w:jc w:val="both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Corte mecánico para ensilado</w:t>
            </w:r>
          </w:p>
        </w:tc>
        <w:tc>
          <w:tcPr>
            <w:tcW w:w="5169" w:type="dxa"/>
          </w:tcPr>
          <w:p w:rsidR="0027727E" w:rsidRDefault="00001F56" w:rsidP="000F1309">
            <w:pPr>
              <w:jc w:val="both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>2,500.00/ha. Máximo 3-00 has.</w:t>
            </w:r>
          </w:p>
        </w:tc>
      </w:tr>
    </w:tbl>
    <w:p w:rsidR="000F1309" w:rsidRPr="005963B0" w:rsidRDefault="000F1309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</w:p>
    <w:p w:rsidR="002E6661" w:rsidRDefault="000F1309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5963B0">
        <w:rPr>
          <w:rFonts w:eastAsia="Times New Roman" w:cs="Arial"/>
          <w:sz w:val="24"/>
          <w:szCs w:val="24"/>
          <w:lang w:eastAsia="es-MX"/>
        </w:rPr>
        <w:t>PROCESO DE RECEPCIÓ</w:t>
      </w:r>
      <w:r w:rsidR="0027727E">
        <w:rPr>
          <w:rFonts w:eastAsia="Times New Roman" w:cs="Arial"/>
          <w:sz w:val="24"/>
          <w:szCs w:val="24"/>
          <w:lang w:eastAsia="es-MX"/>
        </w:rPr>
        <w:t>N DE SOLICITUDES</w:t>
      </w:r>
    </w:p>
    <w:p w:rsidR="000F1309" w:rsidRPr="005963B0" w:rsidRDefault="0027727E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>I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. La ventanilla:</w:t>
      </w:r>
    </w:p>
    <w:p w:rsidR="000F1309" w:rsidRPr="005963B0" w:rsidRDefault="000F1309" w:rsidP="0027727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5963B0">
        <w:rPr>
          <w:rFonts w:eastAsia="Times New Roman" w:cs="Arial"/>
          <w:sz w:val="24"/>
          <w:szCs w:val="24"/>
          <w:lang w:eastAsia="es-MX"/>
        </w:rPr>
        <w:t>a) Recibe la solicitud y documentos anexos de acu</w:t>
      </w:r>
      <w:r w:rsidR="0027727E">
        <w:rPr>
          <w:rFonts w:eastAsia="Times New Roman" w:cs="Arial"/>
          <w:sz w:val="24"/>
          <w:szCs w:val="24"/>
          <w:lang w:eastAsia="es-MX"/>
        </w:rPr>
        <w:t>erdo a los requisitos generales.</w:t>
      </w:r>
    </w:p>
    <w:p w:rsidR="000F1309" w:rsidRPr="005963B0" w:rsidRDefault="000F1309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5963B0">
        <w:rPr>
          <w:rFonts w:eastAsia="Times New Roman" w:cs="Arial"/>
          <w:sz w:val="24"/>
          <w:szCs w:val="24"/>
          <w:lang w:eastAsia="es-MX"/>
        </w:rPr>
        <w:t>Los d</w:t>
      </w:r>
      <w:r w:rsidR="0027727E">
        <w:rPr>
          <w:rFonts w:eastAsia="Times New Roman" w:cs="Arial"/>
          <w:sz w:val="24"/>
          <w:szCs w:val="24"/>
          <w:lang w:eastAsia="es-MX"/>
        </w:rPr>
        <w:t xml:space="preserve">ocumentos originales </w:t>
      </w:r>
      <w:r w:rsidRPr="005963B0">
        <w:rPr>
          <w:rFonts w:eastAsia="Times New Roman" w:cs="Arial"/>
          <w:sz w:val="24"/>
          <w:szCs w:val="24"/>
          <w:lang w:eastAsia="es-MX"/>
        </w:rPr>
        <w:t>una vez cotejado por el responsable de l</w:t>
      </w:r>
      <w:r w:rsidR="0027727E">
        <w:rPr>
          <w:rFonts w:eastAsia="Times New Roman" w:cs="Arial"/>
          <w:sz w:val="24"/>
          <w:szCs w:val="24"/>
          <w:lang w:eastAsia="es-MX"/>
        </w:rPr>
        <w:t xml:space="preserve">a ventanilla y </w:t>
      </w:r>
      <w:r w:rsidRPr="005963B0">
        <w:rPr>
          <w:rFonts w:eastAsia="Times New Roman" w:cs="Arial"/>
          <w:sz w:val="24"/>
          <w:szCs w:val="24"/>
          <w:lang w:eastAsia="es-MX"/>
        </w:rPr>
        <w:t>generado el registro administrativo correspon</w:t>
      </w:r>
      <w:r w:rsidR="0006066D">
        <w:rPr>
          <w:rFonts w:eastAsia="Times New Roman" w:cs="Arial"/>
          <w:sz w:val="24"/>
          <w:szCs w:val="24"/>
          <w:lang w:eastAsia="es-MX"/>
        </w:rPr>
        <w:t>diente en la base de datos</w:t>
      </w:r>
      <w:r w:rsidR="0027727E">
        <w:rPr>
          <w:rFonts w:eastAsia="Times New Roman" w:cs="Arial"/>
          <w:sz w:val="24"/>
          <w:szCs w:val="24"/>
          <w:lang w:eastAsia="es-MX"/>
        </w:rPr>
        <w:t xml:space="preserve">, le serán devueltos </w:t>
      </w:r>
      <w:r w:rsidRPr="005963B0">
        <w:rPr>
          <w:rFonts w:eastAsia="Times New Roman" w:cs="Arial"/>
          <w:sz w:val="24"/>
          <w:szCs w:val="24"/>
          <w:lang w:eastAsia="es-MX"/>
        </w:rPr>
        <w:t>inmediatamente al solicitante.</w:t>
      </w:r>
    </w:p>
    <w:p w:rsidR="000F1309" w:rsidRPr="005963B0" w:rsidRDefault="000F1309" w:rsidP="002E666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5963B0">
        <w:rPr>
          <w:rFonts w:eastAsia="Times New Roman" w:cs="Arial"/>
          <w:sz w:val="24"/>
          <w:szCs w:val="24"/>
          <w:lang w:eastAsia="es-MX"/>
        </w:rPr>
        <w:t xml:space="preserve">b) Si al </w:t>
      </w:r>
      <w:r w:rsidR="0027727E">
        <w:rPr>
          <w:rFonts w:eastAsia="Times New Roman" w:cs="Arial"/>
          <w:sz w:val="24"/>
          <w:szCs w:val="24"/>
          <w:lang w:eastAsia="es-MX"/>
        </w:rPr>
        <w:t xml:space="preserve">solicitante le falta alguno(s)  </w:t>
      </w:r>
      <w:r w:rsidRPr="005963B0">
        <w:rPr>
          <w:rFonts w:eastAsia="Times New Roman" w:cs="Arial"/>
          <w:sz w:val="24"/>
          <w:szCs w:val="24"/>
          <w:lang w:eastAsia="es-MX"/>
        </w:rPr>
        <w:t xml:space="preserve">de los requisito(s) </w:t>
      </w:r>
      <w:r w:rsidR="0006066D">
        <w:rPr>
          <w:rFonts w:eastAsia="Times New Roman" w:cs="Arial"/>
          <w:sz w:val="24"/>
          <w:szCs w:val="24"/>
          <w:lang w:eastAsia="es-MX"/>
        </w:rPr>
        <w:t>señalados en la presente convocatoria</w:t>
      </w:r>
      <w:r w:rsidRPr="005963B0">
        <w:rPr>
          <w:rFonts w:eastAsia="Times New Roman" w:cs="Arial"/>
          <w:sz w:val="24"/>
          <w:szCs w:val="24"/>
          <w:lang w:eastAsia="es-MX"/>
        </w:rPr>
        <w:t>, se le hará saber explicándole el procedimiento a</w:t>
      </w:r>
      <w:r w:rsidR="002E6661">
        <w:rPr>
          <w:rFonts w:eastAsia="Times New Roman" w:cs="Arial"/>
          <w:sz w:val="24"/>
          <w:szCs w:val="24"/>
          <w:lang w:eastAsia="es-MX"/>
        </w:rPr>
        <w:t xml:space="preserve"> seguir para cumplir con dicho requisito.</w:t>
      </w:r>
    </w:p>
    <w:p w:rsidR="000F1309" w:rsidRPr="005963B0" w:rsidRDefault="002E6661" w:rsidP="002E666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 xml:space="preserve">c)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 xml:space="preserve">Entrega al solicitante un acuse de recibo con </w:t>
      </w:r>
      <w:r>
        <w:rPr>
          <w:rFonts w:eastAsia="Times New Roman" w:cs="Arial"/>
          <w:sz w:val="24"/>
          <w:szCs w:val="24"/>
          <w:lang w:eastAsia="es-MX"/>
        </w:rPr>
        <w:t>el folio de registro el cual de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b</w:t>
      </w:r>
      <w:r>
        <w:rPr>
          <w:rFonts w:eastAsia="Times New Roman" w:cs="Arial"/>
          <w:sz w:val="24"/>
          <w:szCs w:val="24"/>
          <w:lang w:eastAsia="es-MX"/>
        </w:rPr>
        <w:t xml:space="preserve">erá conservar para el seguimiento y conclusión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 xml:space="preserve">de su trámite, </w:t>
      </w:r>
    </w:p>
    <w:p w:rsidR="000F1309" w:rsidRPr="005963B0" w:rsidRDefault="000F1309" w:rsidP="002E666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5963B0">
        <w:rPr>
          <w:rFonts w:eastAsia="Times New Roman" w:cs="Arial"/>
          <w:sz w:val="24"/>
          <w:szCs w:val="24"/>
          <w:lang w:eastAsia="es-MX"/>
        </w:rPr>
        <w:t xml:space="preserve">d) Integra el expediente y lo remite con </w:t>
      </w:r>
      <w:r w:rsidR="00A06C95">
        <w:rPr>
          <w:rFonts w:eastAsia="Times New Roman" w:cs="Arial"/>
          <w:sz w:val="24"/>
          <w:szCs w:val="24"/>
          <w:lang w:eastAsia="es-MX"/>
        </w:rPr>
        <w:t>sus anexos al Comité Evaluador</w:t>
      </w:r>
      <w:r w:rsidRPr="005963B0">
        <w:rPr>
          <w:rFonts w:eastAsia="Times New Roman" w:cs="Arial"/>
          <w:sz w:val="24"/>
          <w:szCs w:val="24"/>
          <w:lang w:eastAsia="es-MX"/>
        </w:rPr>
        <w:t xml:space="preserve"> c</w:t>
      </w:r>
      <w:r w:rsidR="002E6661">
        <w:rPr>
          <w:rFonts w:eastAsia="Times New Roman" w:cs="Arial"/>
          <w:sz w:val="24"/>
          <w:szCs w:val="24"/>
          <w:lang w:eastAsia="es-MX"/>
        </w:rPr>
        <w:t>o</w:t>
      </w:r>
      <w:r w:rsidR="00A06C95">
        <w:rPr>
          <w:rFonts w:eastAsia="Times New Roman" w:cs="Arial"/>
          <w:sz w:val="24"/>
          <w:szCs w:val="24"/>
          <w:lang w:eastAsia="es-MX"/>
        </w:rPr>
        <w:t>nformado por representantes del Gobierno Municipal y una comisión del Consejo Municipal de Desarrollo Rural Sustentable del Municipio de Colima</w:t>
      </w:r>
      <w:r w:rsidR="002E6661">
        <w:rPr>
          <w:rFonts w:eastAsia="Times New Roman" w:cs="Arial"/>
          <w:sz w:val="24"/>
          <w:szCs w:val="24"/>
          <w:lang w:eastAsia="es-MX"/>
        </w:rPr>
        <w:t xml:space="preserve"> en un plazo no </w:t>
      </w:r>
      <w:r w:rsidRPr="005963B0">
        <w:rPr>
          <w:rFonts w:eastAsia="Times New Roman" w:cs="Arial"/>
          <w:sz w:val="24"/>
          <w:szCs w:val="24"/>
          <w:lang w:eastAsia="es-MX"/>
        </w:rPr>
        <w:t>mayor a cinco días hábiles.</w:t>
      </w:r>
    </w:p>
    <w:p w:rsidR="000F1309" w:rsidRPr="005963B0" w:rsidRDefault="0006066D" w:rsidP="002E666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>II. El Comité Evaluador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:</w:t>
      </w:r>
    </w:p>
    <w:p w:rsidR="000F1309" w:rsidRPr="005963B0" w:rsidRDefault="002E6661" w:rsidP="002E666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 xml:space="preserve">a) En caso de que la solicitud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no contenga los datos o no se cumplan los requisitos apl</w:t>
      </w:r>
      <w:r>
        <w:rPr>
          <w:rFonts w:eastAsia="Times New Roman" w:cs="Arial"/>
          <w:sz w:val="24"/>
          <w:szCs w:val="24"/>
          <w:lang w:eastAsia="es-MX"/>
        </w:rPr>
        <w:t xml:space="preserve">icables, se deberá prevenir al </w:t>
      </w:r>
      <w:r w:rsidR="00A06C95">
        <w:rPr>
          <w:rFonts w:eastAsia="Times New Roman" w:cs="Arial"/>
          <w:sz w:val="24"/>
          <w:szCs w:val="24"/>
          <w:lang w:eastAsia="es-MX"/>
        </w:rPr>
        <w:t>solicitante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 xml:space="preserve"> correspondiente </w:t>
      </w:r>
      <w:r>
        <w:rPr>
          <w:rFonts w:eastAsia="Times New Roman" w:cs="Arial"/>
          <w:sz w:val="24"/>
          <w:szCs w:val="24"/>
          <w:lang w:eastAsia="es-MX"/>
        </w:rPr>
        <w:t xml:space="preserve">identificando el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trámite po</w:t>
      </w:r>
      <w:r>
        <w:rPr>
          <w:rFonts w:eastAsia="Times New Roman" w:cs="Arial"/>
          <w:sz w:val="24"/>
          <w:szCs w:val="24"/>
          <w:lang w:eastAsia="es-MX"/>
        </w:rPr>
        <w:t xml:space="preserve">r su número de folio, para que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 xml:space="preserve">subsane la omisión en un plazo no mayor de 10 días </w:t>
      </w:r>
      <w:r>
        <w:rPr>
          <w:rFonts w:eastAsia="Times New Roman" w:cs="Arial"/>
          <w:sz w:val="24"/>
          <w:szCs w:val="24"/>
          <w:lang w:eastAsia="es-MX"/>
        </w:rPr>
        <w:t xml:space="preserve">hábiles, contados a partir del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día de la notificación, por lo que una vez que el solicitante presente completos los requisito</w:t>
      </w:r>
      <w:r>
        <w:rPr>
          <w:rFonts w:eastAsia="Times New Roman" w:cs="Arial"/>
          <w:sz w:val="24"/>
          <w:szCs w:val="24"/>
          <w:lang w:eastAsia="es-MX"/>
        </w:rPr>
        <w:t>s, se continuará con el trámite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 xml:space="preserve">. </w:t>
      </w:r>
    </w:p>
    <w:p w:rsidR="000F1309" w:rsidRPr="005963B0" w:rsidRDefault="000F1309" w:rsidP="002E666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5963B0">
        <w:rPr>
          <w:rFonts w:eastAsia="Times New Roman" w:cs="Arial"/>
          <w:sz w:val="24"/>
          <w:szCs w:val="24"/>
          <w:lang w:eastAsia="es-MX"/>
        </w:rPr>
        <w:t xml:space="preserve">Transcurrido el </w:t>
      </w:r>
      <w:r w:rsidR="002E6661">
        <w:rPr>
          <w:rFonts w:eastAsia="Times New Roman" w:cs="Arial"/>
          <w:sz w:val="24"/>
          <w:szCs w:val="24"/>
          <w:lang w:eastAsia="es-MX"/>
        </w:rPr>
        <w:t>plazo de 10 días hábiles, sin q</w:t>
      </w:r>
      <w:r w:rsidRPr="005963B0">
        <w:rPr>
          <w:rFonts w:eastAsia="Times New Roman" w:cs="Arial"/>
          <w:sz w:val="24"/>
          <w:szCs w:val="24"/>
          <w:lang w:eastAsia="es-MX"/>
        </w:rPr>
        <w:t>ue se desahogue la prevención, se tendrá por no presentada la solicitud.</w:t>
      </w:r>
    </w:p>
    <w:p w:rsidR="000F1309" w:rsidRPr="005963B0" w:rsidRDefault="002E6661" w:rsidP="002E666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 xml:space="preserve">b)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Publica el listado de beneficiarios autorizados y el de los solicitantes rechazados en las ven</w:t>
      </w:r>
      <w:r>
        <w:rPr>
          <w:rFonts w:eastAsia="Times New Roman" w:cs="Arial"/>
          <w:sz w:val="24"/>
          <w:szCs w:val="24"/>
          <w:lang w:eastAsia="es-MX"/>
        </w:rPr>
        <w:t xml:space="preserve">tanillas correspondientes y en la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página electrónica de</w:t>
      </w:r>
      <w:r>
        <w:rPr>
          <w:rFonts w:eastAsia="Times New Roman" w:cs="Arial"/>
          <w:sz w:val="24"/>
          <w:szCs w:val="24"/>
          <w:lang w:eastAsia="es-MX"/>
        </w:rPr>
        <w:t>l H. Ayuntamiento de Colima</w:t>
      </w:r>
      <w:r w:rsidR="00AC5E48">
        <w:rPr>
          <w:rFonts w:eastAsia="Times New Roman" w:cs="Arial"/>
          <w:sz w:val="24"/>
          <w:szCs w:val="24"/>
          <w:lang w:eastAsia="es-MX"/>
        </w:rPr>
        <w:t xml:space="preserve"> como fecha límite el 4 de mayo de 2017 o antes en caso de agotarse la disponibilidad presupuestaria.</w:t>
      </w:r>
    </w:p>
    <w:p w:rsidR="00A06C95" w:rsidRPr="005963B0" w:rsidRDefault="002E6661" w:rsidP="002E666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 xml:space="preserve">c) Solicita al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 xml:space="preserve">Área responsable de ejecutar la entrega </w:t>
      </w:r>
      <w:r>
        <w:rPr>
          <w:rFonts w:eastAsia="Times New Roman" w:cs="Arial"/>
          <w:sz w:val="24"/>
          <w:szCs w:val="24"/>
          <w:lang w:eastAsia="es-MX"/>
        </w:rPr>
        <w:t xml:space="preserve">de los apoyos o subsidios para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que se encargue de entregarlos a los productores con solicitudes que fueron dictaminadas c</w:t>
      </w:r>
      <w:r>
        <w:rPr>
          <w:rFonts w:eastAsia="Times New Roman" w:cs="Arial"/>
          <w:sz w:val="24"/>
          <w:szCs w:val="24"/>
          <w:lang w:eastAsia="es-MX"/>
        </w:rPr>
        <w:t xml:space="preserve">omo positivas, de acuerdo a la  </w:t>
      </w:r>
      <w:r w:rsidR="000F1309" w:rsidRPr="005963B0">
        <w:rPr>
          <w:rFonts w:eastAsia="Times New Roman" w:cs="Arial"/>
          <w:sz w:val="24"/>
          <w:szCs w:val="24"/>
          <w:lang w:eastAsia="es-MX"/>
        </w:rPr>
        <w:t>suficiencia presupuestal.</w:t>
      </w:r>
    </w:p>
    <w:p w:rsidR="000F1309" w:rsidRPr="005963B0" w:rsidRDefault="000F1309" w:rsidP="002E666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5963B0">
        <w:rPr>
          <w:rFonts w:eastAsia="Times New Roman" w:cs="Arial"/>
          <w:sz w:val="24"/>
          <w:szCs w:val="24"/>
          <w:lang w:eastAsia="es-MX"/>
        </w:rPr>
        <w:t>EL PROC</w:t>
      </w:r>
      <w:r w:rsidR="002E6661">
        <w:rPr>
          <w:rFonts w:eastAsia="Times New Roman" w:cs="Arial"/>
          <w:sz w:val="24"/>
          <w:szCs w:val="24"/>
          <w:lang w:eastAsia="es-MX"/>
        </w:rPr>
        <w:t xml:space="preserve">EDIMIENTO DE SELECCIÓN SERA EL </w:t>
      </w:r>
      <w:r w:rsidRPr="005963B0">
        <w:rPr>
          <w:rFonts w:eastAsia="Times New Roman" w:cs="Arial"/>
          <w:sz w:val="24"/>
          <w:szCs w:val="24"/>
          <w:lang w:eastAsia="es-MX"/>
        </w:rPr>
        <w:t>SIGUIENTE:</w:t>
      </w:r>
    </w:p>
    <w:p w:rsidR="000F1309" w:rsidRPr="005963B0" w:rsidRDefault="000F1309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5963B0">
        <w:rPr>
          <w:rFonts w:eastAsia="Times New Roman" w:cs="Arial"/>
          <w:sz w:val="24"/>
          <w:szCs w:val="24"/>
          <w:lang w:eastAsia="es-MX"/>
        </w:rPr>
        <w:t>El que cumpla con la pertenencia a la po</w:t>
      </w:r>
      <w:r w:rsidR="00AC5E48">
        <w:rPr>
          <w:rFonts w:eastAsia="Times New Roman" w:cs="Arial"/>
          <w:sz w:val="24"/>
          <w:szCs w:val="24"/>
          <w:lang w:eastAsia="es-MX"/>
        </w:rPr>
        <w:t xml:space="preserve">blación objetivo, </w:t>
      </w:r>
      <w:r w:rsidRPr="005963B0">
        <w:rPr>
          <w:rFonts w:eastAsia="Times New Roman" w:cs="Arial"/>
          <w:sz w:val="24"/>
          <w:szCs w:val="24"/>
          <w:lang w:eastAsia="es-MX"/>
        </w:rPr>
        <w:t>requ</w:t>
      </w:r>
      <w:r w:rsidR="002E6661">
        <w:rPr>
          <w:rFonts w:eastAsia="Times New Roman" w:cs="Arial"/>
          <w:sz w:val="24"/>
          <w:szCs w:val="24"/>
          <w:lang w:eastAsia="es-MX"/>
        </w:rPr>
        <w:t xml:space="preserve">isitos generales y </w:t>
      </w:r>
      <w:r w:rsidR="00AC5E48">
        <w:rPr>
          <w:rFonts w:eastAsia="Times New Roman" w:cs="Arial"/>
          <w:sz w:val="24"/>
          <w:szCs w:val="24"/>
          <w:lang w:eastAsia="es-MX"/>
        </w:rPr>
        <w:t>criterios de elección</w:t>
      </w:r>
      <w:r w:rsidR="009E04AD">
        <w:rPr>
          <w:rFonts w:eastAsia="Times New Roman" w:cs="Arial"/>
          <w:sz w:val="24"/>
          <w:szCs w:val="24"/>
          <w:lang w:eastAsia="es-MX"/>
        </w:rPr>
        <w:t>.</w:t>
      </w:r>
    </w:p>
    <w:p w:rsidR="000F1309" w:rsidRPr="005963B0" w:rsidRDefault="000F1309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5963B0">
        <w:rPr>
          <w:rFonts w:eastAsia="Times New Roman" w:cs="Arial"/>
          <w:sz w:val="24"/>
          <w:szCs w:val="24"/>
          <w:lang w:eastAsia="es-MX"/>
        </w:rPr>
        <w:t>LAS FECHAS DE APERTURA Y CIERRE DE VENTANILLAS SERAN LAS SIGUIENTES:</w:t>
      </w:r>
    </w:p>
    <w:p w:rsidR="000F1309" w:rsidRPr="005963B0" w:rsidRDefault="000F1309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5963B0">
        <w:rPr>
          <w:rFonts w:eastAsia="Times New Roman" w:cs="Arial"/>
          <w:sz w:val="24"/>
          <w:szCs w:val="24"/>
          <w:lang w:eastAsia="es-MX"/>
        </w:rPr>
        <w:t>L</w:t>
      </w:r>
      <w:r w:rsidR="00D054EF">
        <w:rPr>
          <w:rFonts w:eastAsia="Times New Roman" w:cs="Arial"/>
          <w:sz w:val="24"/>
          <w:szCs w:val="24"/>
          <w:lang w:eastAsia="es-MX"/>
        </w:rPr>
        <w:t>a recepción de las solicitudes de incentivos será e</w:t>
      </w:r>
      <w:r w:rsidRPr="005963B0">
        <w:rPr>
          <w:rFonts w:eastAsia="Times New Roman" w:cs="Arial"/>
          <w:sz w:val="24"/>
          <w:szCs w:val="24"/>
          <w:lang w:eastAsia="es-MX"/>
        </w:rPr>
        <w:t xml:space="preserve">n </w:t>
      </w:r>
      <w:r w:rsidR="00D054EF">
        <w:rPr>
          <w:rFonts w:eastAsia="Times New Roman" w:cs="Arial"/>
          <w:sz w:val="24"/>
          <w:szCs w:val="24"/>
          <w:lang w:eastAsia="es-MX"/>
        </w:rPr>
        <w:t>la oficina de la Dirección de Desarrollo Rural,  con domicilio en Venustiano  Carranza No. 25, Colonia Centro,</w:t>
      </w:r>
      <w:r w:rsidR="009E04AD">
        <w:rPr>
          <w:rFonts w:eastAsia="Times New Roman" w:cs="Arial"/>
          <w:sz w:val="24"/>
          <w:szCs w:val="24"/>
          <w:lang w:eastAsia="es-MX"/>
        </w:rPr>
        <w:t xml:space="preserve"> de la Ciudad de Colima,  del 1 de marzo</w:t>
      </w:r>
      <w:r w:rsidR="00D054EF">
        <w:rPr>
          <w:rFonts w:eastAsia="Times New Roman" w:cs="Arial"/>
          <w:sz w:val="24"/>
          <w:szCs w:val="24"/>
          <w:lang w:eastAsia="es-MX"/>
        </w:rPr>
        <w:t xml:space="preserve"> </w:t>
      </w:r>
      <w:r w:rsidR="009E04AD">
        <w:rPr>
          <w:rFonts w:eastAsia="Times New Roman" w:cs="Arial"/>
          <w:sz w:val="24"/>
          <w:szCs w:val="24"/>
          <w:lang w:eastAsia="es-MX"/>
        </w:rPr>
        <w:t>hasta agotar disponibilidad presupuestaria</w:t>
      </w:r>
      <w:r w:rsidR="00D054EF">
        <w:rPr>
          <w:rFonts w:eastAsia="Times New Roman" w:cs="Arial"/>
          <w:sz w:val="24"/>
          <w:szCs w:val="24"/>
          <w:lang w:eastAsia="es-MX"/>
        </w:rPr>
        <w:t xml:space="preserve">, en </w:t>
      </w:r>
      <w:r w:rsidRPr="005963B0">
        <w:rPr>
          <w:rFonts w:eastAsia="Times New Roman" w:cs="Arial"/>
          <w:sz w:val="24"/>
          <w:szCs w:val="24"/>
          <w:lang w:eastAsia="es-MX"/>
        </w:rPr>
        <w:t xml:space="preserve">días y horarios hábiles. </w:t>
      </w:r>
    </w:p>
    <w:p w:rsidR="000F1309" w:rsidRPr="005963B0" w:rsidRDefault="00D054EF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>Lo no previsto en la presente será determinado por</w:t>
      </w:r>
      <w:r w:rsidR="00AC5E48">
        <w:rPr>
          <w:rFonts w:eastAsia="Times New Roman" w:cs="Arial"/>
          <w:sz w:val="24"/>
          <w:szCs w:val="24"/>
          <w:lang w:eastAsia="es-MX"/>
        </w:rPr>
        <w:t xml:space="preserve"> la e</w:t>
      </w:r>
      <w:r>
        <w:rPr>
          <w:rFonts w:eastAsia="Times New Roman" w:cs="Arial"/>
          <w:sz w:val="24"/>
          <w:szCs w:val="24"/>
          <w:lang w:eastAsia="es-MX"/>
        </w:rPr>
        <w:t>l</w:t>
      </w:r>
      <w:r w:rsidR="00AC5E48">
        <w:rPr>
          <w:rFonts w:eastAsia="Times New Roman" w:cs="Arial"/>
          <w:sz w:val="24"/>
          <w:szCs w:val="24"/>
          <w:lang w:eastAsia="es-MX"/>
        </w:rPr>
        <w:t xml:space="preserve"> comité Evaluador</w:t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es-MX"/>
        </w:rPr>
        <w:t>.</w:t>
      </w:r>
    </w:p>
    <w:p w:rsidR="00D054EF" w:rsidRDefault="00D054EF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</w:p>
    <w:p w:rsidR="00624864" w:rsidRDefault="000F1309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5963B0">
        <w:rPr>
          <w:rFonts w:eastAsia="Times New Roman" w:cs="Arial"/>
          <w:sz w:val="24"/>
          <w:szCs w:val="24"/>
          <w:lang w:eastAsia="es-MX"/>
        </w:rPr>
        <w:t>ATENTAMENTE</w:t>
      </w:r>
    </w:p>
    <w:p w:rsidR="00D054EF" w:rsidRDefault="00624864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>El Presidente Municipal</w:t>
      </w:r>
    </w:p>
    <w:p w:rsidR="00D054EF" w:rsidRPr="005963B0" w:rsidRDefault="00D054EF" w:rsidP="000F130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 xml:space="preserve">M.C. Héctor </w:t>
      </w:r>
      <w:proofErr w:type="spellStart"/>
      <w:r>
        <w:rPr>
          <w:rFonts w:eastAsia="Times New Roman" w:cs="Arial"/>
          <w:sz w:val="24"/>
          <w:szCs w:val="24"/>
          <w:lang w:eastAsia="es-MX"/>
        </w:rPr>
        <w:t>Insúa</w:t>
      </w:r>
      <w:proofErr w:type="spellEnd"/>
      <w:r>
        <w:rPr>
          <w:rFonts w:eastAsia="Times New Roman" w:cs="Arial"/>
          <w:sz w:val="24"/>
          <w:szCs w:val="24"/>
          <w:lang w:eastAsia="es-MX"/>
        </w:rPr>
        <w:t xml:space="preserve"> García</w:t>
      </w:r>
    </w:p>
    <w:sectPr w:rsidR="00D054EF" w:rsidRPr="005963B0" w:rsidSect="00624864">
      <w:pgSz w:w="12240" w:h="15840"/>
      <w:pgMar w:top="851" w:right="90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27" w:rsidRDefault="004D0D27" w:rsidP="00794680">
      <w:pPr>
        <w:spacing w:after="0" w:line="240" w:lineRule="auto"/>
      </w:pPr>
      <w:r>
        <w:separator/>
      </w:r>
    </w:p>
  </w:endnote>
  <w:endnote w:type="continuationSeparator" w:id="0">
    <w:p w:rsidR="004D0D27" w:rsidRDefault="004D0D27" w:rsidP="0079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27" w:rsidRDefault="004D0D27" w:rsidP="00794680">
      <w:pPr>
        <w:spacing w:after="0" w:line="240" w:lineRule="auto"/>
      </w:pPr>
      <w:r>
        <w:separator/>
      </w:r>
    </w:p>
  </w:footnote>
  <w:footnote w:type="continuationSeparator" w:id="0">
    <w:p w:rsidR="004D0D27" w:rsidRDefault="004D0D27" w:rsidP="0079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7F21"/>
    <w:multiLevelType w:val="multilevel"/>
    <w:tmpl w:val="C1E61C6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92C18B7"/>
    <w:multiLevelType w:val="multilevel"/>
    <w:tmpl w:val="B1BC1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1B173B"/>
    <w:multiLevelType w:val="hybridMultilevel"/>
    <w:tmpl w:val="68FE4EA4"/>
    <w:lvl w:ilvl="0" w:tplc="5BF67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64CA4"/>
    <w:multiLevelType w:val="multilevel"/>
    <w:tmpl w:val="DFE26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670"/>
    <w:rsid w:val="00001F56"/>
    <w:rsid w:val="0001252F"/>
    <w:rsid w:val="000204BE"/>
    <w:rsid w:val="00035A4B"/>
    <w:rsid w:val="00044484"/>
    <w:rsid w:val="0006066D"/>
    <w:rsid w:val="0007658C"/>
    <w:rsid w:val="000A01F5"/>
    <w:rsid w:val="000B79D2"/>
    <w:rsid w:val="000D0FD0"/>
    <w:rsid w:val="000F1309"/>
    <w:rsid w:val="00102798"/>
    <w:rsid w:val="00106712"/>
    <w:rsid w:val="00124670"/>
    <w:rsid w:val="00163735"/>
    <w:rsid w:val="00177F31"/>
    <w:rsid w:val="001832D6"/>
    <w:rsid w:val="001A66E6"/>
    <w:rsid w:val="001B5F5D"/>
    <w:rsid w:val="001F2294"/>
    <w:rsid w:val="001F5AC1"/>
    <w:rsid w:val="00233118"/>
    <w:rsid w:val="00235227"/>
    <w:rsid w:val="00247954"/>
    <w:rsid w:val="0027727E"/>
    <w:rsid w:val="00291D59"/>
    <w:rsid w:val="002A5B32"/>
    <w:rsid w:val="002C19A2"/>
    <w:rsid w:val="002D7506"/>
    <w:rsid w:val="002E6661"/>
    <w:rsid w:val="0031154C"/>
    <w:rsid w:val="00320BA8"/>
    <w:rsid w:val="003270B2"/>
    <w:rsid w:val="00340803"/>
    <w:rsid w:val="003607B6"/>
    <w:rsid w:val="00365EB1"/>
    <w:rsid w:val="00375A09"/>
    <w:rsid w:val="00385253"/>
    <w:rsid w:val="003C59E4"/>
    <w:rsid w:val="00406AC9"/>
    <w:rsid w:val="00426A87"/>
    <w:rsid w:val="004503FD"/>
    <w:rsid w:val="00454163"/>
    <w:rsid w:val="00455640"/>
    <w:rsid w:val="00462973"/>
    <w:rsid w:val="00464C62"/>
    <w:rsid w:val="00494151"/>
    <w:rsid w:val="004A383E"/>
    <w:rsid w:val="004D0D27"/>
    <w:rsid w:val="004F608C"/>
    <w:rsid w:val="004F7594"/>
    <w:rsid w:val="00500ACC"/>
    <w:rsid w:val="00517619"/>
    <w:rsid w:val="005815D3"/>
    <w:rsid w:val="00624864"/>
    <w:rsid w:val="00656981"/>
    <w:rsid w:val="006820FF"/>
    <w:rsid w:val="00691FDB"/>
    <w:rsid w:val="006E73B0"/>
    <w:rsid w:val="00732FD5"/>
    <w:rsid w:val="00740BC3"/>
    <w:rsid w:val="00787A25"/>
    <w:rsid w:val="00794680"/>
    <w:rsid w:val="007D4EA3"/>
    <w:rsid w:val="008024BC"/>
    <w:rsid w:val="00893D3A"/>
    <w:rsid w:val="008A5ADD"/>
    <w:rsid w:val="008B08C8"/>
    <w:rsid w:val="008E2F2E"/>
    <w:rsid w:val="00943FA5"/>
    <w:rsid w:val="009E04AD"/>
    <w:rsid w:val="009F0CB3"/>
    <w:rsid w:val="00A06C95"/>
    <w:rsid w:val="00A4630C"/>
    <w:rsid w:val="00A732AA"/>
    <w:rsid w:val="00A836B9"/>
    <w:rsid w:val="00AC5E48"/>
    <w:rsid w:val="00B7105F"/>
    <w:rsid w:val="00BD42FD"/>
    <w:rsid w:val="00BE00AF"/>
    <w:rsid w:val="00BE2745"/>
    <w:rsid w:val="00BE4E6A"/>
    <w:rsid w:val="00C368AC"/>
    <w:rsid w:val="00C42BD6"/>
    <w:rsid w:val="00C47FB7"/>
    <w:rsid w:val="00C51AEA"/>
    <w:rsid w:val="00C61527"/>
    <w:rsid w:val="00C8312A"/>
    <w:rsid w:val="00CB1305"/>
    <w:rsid w:val="00CD2C5F"/>
    <w:rsid w:val="00CE5B47"/>
    <w:rsid w:val="00D00D83"/>
    <w:rsid w:val="00D054EF"/>
    <w:rsid w:val="00D263C2"/>
    <w:rsid w:val="00D26667"/>
    <w:rsid w:val="00D26CDB"/>
    <w:rsid w:val="00D41684"/>
    <w:rsid w:val="00D467D2"/>
    <w:rsid w:val="00D82A22"/>
    <w:rsid w:val="00DB4235"/>
    <w:rsid w:val="00E051F4"/>
    <w:rsid w:val="00E32FD8"/>
    <w:rsid w:val="00E652E1"/>
    <w:rsid w:val="00E70022"/>
    <w:rsid w:val="00E7371C"/>
    <w:rsid w:val="00ED2D6D"/>
    <w:rsid w:val="00EF13D2"/>
    <w:rsid w:val="00F0002D"/>
    <w:rsid w:val="00F277D4"/>
    <w:rsid w:val="00F96BBD"/>
    <w:rsid w:val="00FB4AAA"/>
    <w:rsid w:val="00FD2371"/>
    <w:rsid w:val="00FD356F"/>
    <w:rsid w:val="00FF080B"/>
    <w:rsid w:val="00FF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A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94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680"/>
  </w:style>
  <w:style w:type="paragraph" w:styleId="Piedepgina">
    <w:name w:val="footer"/>
    <w:basedOn w:val="Normal"/>
    <w:link w:val="PiedepginaCar"/>
    <w:uiPriority w:val="99"/>
    <w:unhideWhenUsed/>
    <w:rsid w:val="00794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680"/>
  </w:style>
  <w:style w:type="table" w:styleId="Tablaconcuadrcula">
    <w:name w:val="Table Grid"/>
    <w:basedOn w:val="Tablanormal"/>
    <w:uiPriority w:val="59"/>
    <w:rsid w:val="00D2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Dueñas Gil</dc:creator>
  <cp:lastModifiedBy>jorge.ochoa</cp:lastModifiedBy>
  <cp:revision>2</cp:revision>
  <cp:lastPrinted>2017-02-22T17:46:00Z</cp:lastPrinted>
  <dcterms:created xsi:type="dcterms:W3CDTF">2017-07-20T19:33:00Z</dcterms:created>
  <dcterms:modified xsi:type="dcterms:W3CDTF">2017-07-20T19:33:00Z</dcterms:modified>
</cp:coreProperties>
</file>